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F0DF" w14:textId="50528961" w:rsidR="00040960" w:rsidRPr="00B44FD5" w:rsidRDefault="00B44FD5" w:rsidP="00040960">
      <w:pPr>
        <w:pStyle w:val="Default"/>
        <w:pBdr>
          <w:bottom w:val="single" w:sz="6" w:space="1" w:color="auto"/>
        </w:pBdr>
        <w:rPr>
          <w:rFonts w:ascii="Avenir Next LT Pro" w:eastAsia="Noto Sans JP Black" w:hAnsi="Avenir Next LT Pro"/>
          <w:bCs/>
          <w:color w:val="auto"/>
          <w:sz w:val="28"/>
          <w:szCs w:val="28"/>
        </w:rPr>
      </w:pPr>
      <w:r w:rsidRPr="00B44FD5">
        <w:rPr>
          <w:rFonts w:ascii="Avenir Next LT Pro" w:eastAsia="Noto Sans JP Black" w:hAnsi="Avenir Next LT Pro"/>
          <w:bCs/>
          <w:color w:val="auto"/>
          <w:sz w:val="28"/>
          <w:szCs w:val="28"/>
        </w:rPr>
        <w:t>Cameron Ratchford</w:t>
      </w:r>
    </w:p>
    <w:p w14:paraId="55C2665C" w14:textId="79B7B754" w:rsidR="00040960" w:rsidRPr="0018735B" w:rsidRDefault="00B44FD5" w:rsidP="00040960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0070C0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22"/>
          <w:szCs w:val="22"/>
        </w:rPr>
        <w:t>camratchford@gmail.com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 w:rsidR="00E1744F" w:rsidRP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>403-389-9337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AC61C6" w:rsidRPr="00491607">
        <w:rPr>
          <w:rFonts w:ascii="Avenir Next LT Pro" w:eastAsia="Noto Sans JP Black" w:hAnsi="Avenir Next LT Pro"/>
          <w:color w:val="auto"/>
          <w:sz w:val="22"/>
          <w:szCs w:val="22"/>
        </w:rPr>
        <w:t>Calgary, AB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 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hyperlink r:id="rId8" w:history="1">
        <w:r w:rsidR="00040960" w:rsidRPr="0018735B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linkedin.com/in/cameron-ratchford</w:t>
        </w:r>
      </w:hyperlink>
    </w:p>
    <w:p w14:paraId="53B6B1A8" w14:textId="6BDE72F7" w:rsidR="00D7551A" w:rsidRPr="00491607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B44FD5" w:rsidRDefault="00FF6734" w:rsidP="00D20300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16"/>
          <w:szCs w:val="16"/>
          <w:u w:val="single"/>
        </w:rPr>
      </w:pPr>
    </w:p>
    <w:p w14:paraId="2EDA6153" w14:textId="2CD01288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Computer Modelling Group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–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Present</w:t>
      </w:r>
    </w:p>
    <w:p w14:paraId="1D412D52" w14:textId="17F71127" w:rsidR="00F550F1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Technical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48C83B68" w14:textId="054EA4E6" w:rsidR="00F550F1" w:rsidRPr="00491607" w:rsidRDefault="00DF0B2A" w:rsidP="005B52A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22"/>
          <w:szCs w:val="22"/>
        </w:rPr>
      </w:pPr>
      <w:r>
        <w:rPr>
          <w:rFonts w:ascii="Avenir Next LT Pro" w:eastAsia="Noto Sans JP Black" w:hAnsi="Avenir Next LT Pro"/>
          <w:bCs/>
          <w:sz w:val="22"/>
          <w:szCs w:val="22"/>
        </w:rPr>
        <w:t xml:space="preserve">As Technical Support Analyst, </w:t>
      </w:r>
      <w:r w:rsidR="005B52A1">
        <w:rPr>
          <w:rFonts w:ascii="Avenir Next LT Pro" w:eastAsia="Noto Sans JP Black" w:hAnsi="Avenir Next LT Pro"/>
          <w:bCs/>
          <w:sz w:val="22"/>
          <w:szCs w:val="22"/>
        </w:rPr>
        <w:t>I am</w:t>
      </w:r>
      <w:r w:rsidR="005B52A1" w:rsidRPr="005B52A1">
        <w:rPr>
          <w:rFonts w:ascii="Avenir Next LT Pro" w:eastAsia="Noto Sans JP Black" w:hAnsi="Avenir Next LT Pro"/>
          <w:bCs/>
          <w:sz w:val="22"/>
          <w:szCs w:val="22"/>
        </w:rPr>
        <w:t xml:space="preserve"> responsible for the</w:t>
      </w:r>
      <w:r w:rsidR="005B52A1">
        <w:rPr>
          <w:rFonts w:ascii="Avenir Next LT Pro" w:eastAsia="Noto Sans JP Black" w:hAnsi="Avenir Next LT Pro"/>
          <w:bCs/>
          <w:sz w:val="22"/>
          <w:szCs w:val="22"/>
        </w:rPr>
        <w:t xml:space="preserve"> usability,</w:t>
      </w:r>
      <w:r w:rsidR="005B52A1" w:rsidRPr="005B52A1">
        <w:rPr>
          <w:rFonts w:ascii="Avenir Next LT Pro" w:eastAsia="Noto Sans JP Black" w:hAnsi="Avenir Next LT Pro"/>
          <w:bCs/>
          <w:sz w:val="22"/>
          <w:szCs w:val="22"/>
        </w:rPr>
        <w:t xml:space="preserve"> smooth </w:t>
      </w:r>
      <w:r w:rsidR="005B52A1">
        <w:rPr>
          <w:rFonts w:ascii="Avenir Next LT Pro" w:eastAsia="Noto Sans JP Black" w:hAnsi="Avenir Next LT Pro"/>
          <w:bCs/>
          <w:sz w:val="22"/>
          <w:szCs w:val="22"/>
        </w:rPr>
        <w:t>operation, reliability, and</w:t>
      </w:r>
      <w:r w:rsidR="005B52A1" w:rsidRPr="005B52A1">
        <w:rPr>
          <w:rFonts w:ascii="Avenir Next LT Pro" w:eastAsia="Noto Sans JP Black" w:hAnsi="Avenir Next LT Pro"/>
          <w:bCs/>
          <w:sz w:val="22"/>
          <w:szCs w:val="22"/>
        </w:rPr>
        <w:t xml:space="preserve"> security of </w:t>
      </w:r>
      <w:r w:rsidR="005B52A1">
        <w:rPr>
          <w:rFonts w:ascii="Avenir Next LT Pro" w:eastAsia="Noto Sans JP Black" w:hAnsi="Avenir Next LT Pro"/>
          <w:bCs/>
          <w:sz w:val="22"/>
          <w:szCs w:val="22"/>
        </w:rPr>
        <w:t>CMG</w:t>
      </w:r>
      <w:r w:rsidR="005B52A1" w:rsidRPr="005B52A1">
        <w:rPr>
          <w:rFonts w:ascii="Avenir Next LT Pro" w:eastAsia="Noto Sans JP Black" w:hAnsi="Avenir Next LT Pro"/>
          <w:bCs/>
          <w:sz w:val="22"/>
          <w:szCs w:val="22"/>
        </w:rPr>
        <w:t xml:space="preserve"> computer systems</w:t>
      </w:r>
      <w:r w:rsidR="005B52A1">
        <w:rPr>
          <w:rFonts w:ascii="Avenir Next LT Pro" w:eastAsia="Noto Sans JP Black" w:hAnsi="Avenir Next LT Pro"/>
          <w:bCs/>
          <w:sz w:val="22"/>
          <w:szCs w:val="22"/>
        </w:rPr>
        <w:t xml:space="preserve"> in Canada and abroad.</w:t>
      </w:r>
      <w:r w:rsidR="005B52A1" w:rsidRPr="005B52A1">
        <w:rPr>
          <w:rFonts w:ascii="Avenir Next LT Pro" w:eastAsia="Noto Sans JP Black" w:hAnsi="Avenir Next LT Pro"/>
          <w:bCs/>
          <w:sz w:val="22"/>
          <w:szCs w:val="22"/>
        </w:rPr>
        <w:t xml:space="preserve"> </w:t>
      </w:r>
    </w:p>
    <w:p w14:paraId="1FE1A742" w14:textId="44A4FC56" w:rsidR="00F550F1" w:rsidRPr="005B52A1" w:rsidRDefault="004439E8" w:rsidP="00DF0B2A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6"/>
          <w:szCs w:val="16"/>
        </w:rPr>
      </w:pPr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 xml:space="preserve">Worked with the senior VMware administrator to deploy, integrate and smoke-test CMG’s new </w:t>
      </w:r>
      <w:hyperlink r:id="rId9" w:history="1">
        <w:r w:rsidRPr="004439E8">
          <w:rPr>
            <w:rStyle w:val="Hyperlink"/>
            <w:rFonts w:ascii="Avenir Next LT Pro" w:eastAsia="Noto Sans JP Black" w:hAnsi="Avenir Next LT Pro" w:cs="Times New Roman"/>
            <w:color w:val="0070C0"/>
            <w:sz w:val="22"/>
            <w:szCs w:val="22"/>
          </w:rPr>
          <w:t>Hyper-Converged VMware environment</w:t>
        </w:r>
      </w:hyperlink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.</w:t>
      </w:r>
    </w:p>
    <w:p w14:paraId="17F81B6B" w14:textId="15C4C5A7" w:rsidR="00DF0B2A" w:rsidRPr="005B52A1" w:rsidRDefault="005B52A1" w:rsidP="00CB1AF2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6"/>
          <w:szCs w:val="16"/>
        </w:rPr>
      </w:pPr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 xml:space="preserve">Negotiated with multiple vendors for the purchase of a fleet of new printers, saving CMG $25000 over </w:t>
      </w:r>
      <w:r w:rsidR="000C3F34"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3</w:t>
      </w:r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 xml:space="preserve"> years.</w:t>
      </w:r>
    </w:p>
    <w:p w14:paraId="3D82C903" w14:textId="0B7E4061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Devon Energy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Aug. 2017 -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</w:p>
    <w:p w14:paraId="5D665825" w14:textId="20ABEBD2" w:rsidR="00F550F1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End User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3A507E66" w14:textId="0D458EC3" w:rsidR="00F550F1" w:rsidRPr="00491607" w:rsidRDefault="00F550F1" w:rsidP="0018735B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In my role at 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t>Devon</w:t>
      </w:r>
      <w:r w:rsidRPr="00491607">
        <w:rPr>
          <w:rFonts w:ascii="Avenir Next LT Pro" w:eastAsia="Noto Sans JP Black" w:hAnsi="Avenir Next LT Pro"/>
          <w:bCs/>
          <w:sz w:val="22"/>
          <w:szCs w:val="22"/>
        </w:rPr>
        <w:t>,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t xml:space="preserve"> </w:t>
      </w:r>
      <w:r w:rsidR="000C3F34">
        <w:rPr>
          <w:rFonts w:ascii="Avenir Next LT Pro" w:eastAsia="Noto Sans JP Black" w:hAnsi="Avenir Next LT Pro"/>
          <w:bCs/>
          <w:sz w:val="22"/>
          <w:szCs w:val="22"/>
        </w:rPr>
        <w:t>I</w:t>
      </w:r>
      <w:r w:rsidR="00CF64CD">
        <w:rPr>
          <w:rFonts w:ascii="Avenir Next LT Pro" w:eastAsia="Noto Sans JP Black" w:hAnsi="Avenir Next LT Pro"/>
          <w:bCs/>
          <w:sz w:val="22"/>
          <w:szCs w:val="22"/>
        </w:rPr>
        <w:t xml:space="preserve"> was responsible for administering </w:t>
      </w:r>
      <w:hyperlink r:id="rId10" w:history="1">
        <w:r w:rsidR="00CF64CD" w:rsidRPr="00CF64CD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Jackfish Lodge</w:t>
        </w:r>
      </w:hyperlink>
      <w:r w:rsidR="00CF64CD">
        <w:rPr>
          <w:rFonts w:ascii="Avenir Next LT Pro" w:eastAsia="Noto Sans JP Black" w:hAnsi="Avenir Next LT Pro"/>
          <w:bCs/>
          <w:sz w:val="22"/>
          <w:szCs w:val="22"/>
        </w:rPr>
        <w:t>’s Door Access System including a network of 2,000+ IoT devices</w:t>
      </w:r>
      <w:r w:rsidR="001C5809">
        <w:rPr>
          <w:rFonts w:ascii="Avenir Next LT Pro" w:eastAsia="Noto Sans JP Black" w:hAnsi="Avenir Next LT Pro"/>
          <w:bCs/>
          <w:sz w:val="22"/>
          <w:szCs w:val="22"/>
        </w:rPr>
        <w:t xml:space="preserve">.  </w:t>
      </w:r>
    </w:p>
    <w:p w14:paraId="431AA6D8" w14:textId="175F543E" w:rsidR="00B52FF1" w:rsidRPr="00491607" w:rsidRDefault="009A58D9" w:rsidP="00B52FF1">
      <w:pPr>
        <w:pStyle w:val="ListParagraph"/>
        <w:numPr>
          <w:ilvl w:val="1"/>
          <w:numId w:val="19"/>
        </w:numPr>
        <w:tabs>
          <w:tab w:val="left" w:pos="1080"/>
        </w:tabs>
        <w:spacing w:before="60" w:after="40"/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</w:pPr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Collaborated</w:t>
      </w:r>
      <w:r w:rsidR="001C5809"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 xml:space="preserve"> with the safety and training administrator to develop interactive training content for facility site operators. </w:t>
      </w:r>
      <w:r w:rsidR="00EF72E0"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This provided the operators with procedure references that were more maintainable and substantially less dull than the stack of binders that it replaced.</w:t>
      </w:r>
    </w:p>
    <w:p w14:paraId="31C8C935" w14:textId="49C9B45E" w:rsidR="00DF0B2A" w:rsidRPr="009A58D9" w:rsidRDefault="009A58D9" w:rsidP="00101AE7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</w:pPr>
      <w:r w:rsidRPr="009A58D9"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Planned</w:t>
      </w:r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, tested, and implemented a new IoT network topology that reduced the device connection failure rate by 50%. This gave me more free time for documentation, preventative maintenance, and collaboration with other teams.</w:t>
      </w:r>
    </w:p>
    <w:p w14:paraId="4AFB0606" w14:textId="508881D6" w:rsidR="00FB7725" w:rsidRPr="00491607" w:rsidRDefault="00AC61C6" w:rsidP="00DA041E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Enbridge</w:t>
      </w:r>
      <w:r w:rsidR="0063407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E6EA7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873C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</w:t>
      </w:r>
      <w:r w:rsidR="00485140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 Dec. 2015</w:t>
      </w:r>
      <w:r w:rsidR="00D30EB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– 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Aug</w:t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.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2017</w:t>
      </w:r>
    </w:p>
    <w:p w14:paraId="0242C732" w14:textId="19AE5C60" w:rsidR="00D30EB5" w:rsidRPr="00491607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Enterprise Desktop Services</w:t>
      </w: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06F69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</w:t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</w:t>
      </w:r>
      <w:r w:rsidR="00F550F1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FB7725"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Calgary. AB</w:t>
      </w:r>
    </w:p>
    <w:p w14:paraId="5D954170" w14:textId="77777777" w:rsidR="00D30EB5" w:rsidRPr="00B44FD5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</w:p>
    <w:p w14:paraId="7A0C946D" w14:textId="7D344856" w:rsidR="00D30EB5" w:rsidRPr="00491607" w:rsidRDefault="00D30EB5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Team Lead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     Nov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Aug. 2017</w:t>
      </w:r>
    </w:p>
    <w:p w14:paraId="74A67EBD" w14:textId="3210E47B" w:rsidR="00531DC5" w:rsidRPr="00491607" w:rsidRDefault="00F46B56" w:rsidP="0018735B">
      <w:pPr>
        <w:pStyle w:val="Default"/>
        <w:numPr>
          <w:ilvl w:val="0"/>
          <w:numId w:val="22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22"/>
          <w:szCs w:val="22"/>
        </w:rPr>
      </w:pPr>
      <w:bookmarkStart w:id="0" w:name="_GoBack"/>
      <w:r w:rsidRPr="00491607">
        <w:rPr>
          <w:rFonts w:ascii="Avenir Next LT Pro" w:eastAsia="Noto Sans JP Black" w:hAnsi="Avenir Next LT Pro"/>
          <w:bCs/>
          <w:sz w:val="22"/>
          <w:szCs w:val="22"/>
        </w:rPr>
        <w:t>As team lead,</w:t>
      </w:r>
      <w:r w:rsidR="001F3A82">
        <w:rPr>
          <w:rFonts w:ascii="Avenir Next LT Pro" w:eastAsia="Noto Sans JP Black" w:hAnsi="Avenir Next LT Pro"/>
          <w:bCs/>
          <w:sz w:val="22"/>
          <w:szCs w:val="22"/>
        </w:rPr>
        <w:t xml:space="preserve"> my responsibilities were to</w:t>
      </w:r>
      <w:r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 lead projects, manage escalations,</w:t>
      </w:r>
      <w:r w:rsidR="000045D8"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 </w:t>
      </w:r>
      <w:r w:rsidR="001F3A82">
        <w:rPr>
          <w:rFonts w:ascii="Avenir Next LT Pro" w:eastAsia="Noto Sans JP Black" w:hAnsi="Avenir Next LT Pro"/>
          <w:bCs/>
          <w:sz w:val="22"/>
          <w:szCs w:val="22"/>
        </w:rPr>
        <w:t>manage the ticket queue</w:t>
      </w:r>
      <w:r w:rsidR="000045D8" w:rsidRPr="00491607">
        <w:rPr>
          <w:rFonts w:ascii="Avenir Next LT Pro" w:eastAsia="Noto Sans JP Black" w:hAnsi="Avenir Next LT Pro"/>
          <w:bCs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 train new-hires, and</w:t>
      </w:r>
      <w:r w:rsidR="001F3A82">
        <w:rPr>
          <w:rFonts w:ascii="Avenir Next LT Pro" w:eastAsia="Noto Sans JP Black" w:hAnsi="Avenir Next LT Pro"/>
          <w:bCs/>
          <w:sz w:val="22"/>
          <w:szCs w:val="22"/>
        </w:rPr>
        <w:t xml:space="preserve"> ensu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t>re</w:t>
      </w:r>
      <w:r w:rsidR="001F3A82">
        <w:rPr>
          <w:rFonts w:ascii="Avenir Next LT Pro" w:eastAsia="Noto Sans JP Black" w:hAnsi="Avenir Next LT Pro"/>
          <w:bCs/>
          <w:sz w:val="22"/>
          <w:szCs w:val="22"/>
        </w:rPr>
        <w:t xml:space="preserve"> that SLAs were met.</w:t>
      </w:r>
    </w:p>
    <w:p w14:paraId="5917FF81" w14:textId="49479AC2" w:rsidR="00F46B56" w:rsidRDefault="00B52FF1" w:rsidP="0018735B">
      <w:pPr>
        <w:pStyle w:val="Default"/>
        <w:numPr>
          <w:ilvl w:val="1"/>
          <w:numId w:val="19"/>
        </w:numPr>
        <w:tabs>
          <w:tab w:val="left" w:pos="1080"/>
        </w:tabs>
        <w:spacing w:before="60" w:after="40"/>
        <w:contextualSpacing/>
        <w:rPr>
          <w:rFonts w:ascii="Avenir Next LT Pro" w:eastAsia="Noto Sans JP Black" w:hAnsi="Avenir Next LT Pro"/>
          <w:bCs/>
          <w:sz w:val="22"/>
          <w:szCs w:val="22"/>
        </w:rPr>
      </w:pPr>
      <w:r>
        <w:rPr>
          <w:rFonts w:ascii="Avenir Next LT Pro" w:eastAsia="Noto Sans JP Black" w:hAnsi="Avenir Next LT Pro"/>
          <w:bCs/>
          <w:sz w:val="22"/>
          <w:szCs w:val="22"/>
        </w:rPr>
        <w:t>Pro</w:t>
      </w:r>
      <w:r w:rsidR="00AE7B1D">
        <w:rPr>
          <w:rFonts w:ascii="Avenir Next LT Pro" w:eastAsia="Noto Sans JP Black" w:hAnsi="Avenir Next LT Pro"/>
          <w:bCs/>
          <w:sz w:val="22"/>
          <w:szCs w:val="22"/>
        </w:rPr>
        <w:t>vided training, escalation support, and guidance to the team of 7 Desktop Support Analysts</w:t>
      </w:r>
    </w:p>
    <w:p w14:paraId="57152898" w14:textId="53AE81DA" w:rsidR="00DF0B2A" w:rsidRPr="00AE7B1D" w:rsidRDefault="00AE7B1D" w:rsidP="008D3110">
      <w:pPr>
        <w:pStyle w:val="Default"/>
        <w:numPr>
          <w:ilvl w:val="1"/>
          <w:numId w:val="19"/>
        </w:numPr>
        <w:tabs>
          <w:tab w:val="left" w:pos="1080"/>
        </w:tabs>
        <w:spacing w:before="60" w:after="40" w:line="252" w:lineRule="auto"/>
        <w:contextualSpacing/>
        <w:rPr>
          <w:rFonts w:ascii="Avenir Next LT Pro" w:eastAsia="Noto Sans JP Black" w:hAnsi="Avenir Next LT Pro"/>
          <w:color w:val="auto"/>
          <w:sz w:val="16"/>
          <w:szCs w:val="16"/>
        </w:rPr>
      </w:pPr>
      <w:r>
        <w:rPr>
          <w:rFonts w:ascii="Avenir Next LT Pro" w:eastAsia="Noto Sans JP Black" w:hAnsi="Avenir Next LT Pro"/>
          <w:bCs/>
          <w:sz w:val="22"/>
          <w:szCs w:val="22"/>
        </w:rPr>
        <w:t>Planned, delegated workloads, and oversaw the execution of 3 office relocations, a printer fleet refresh, and the onboarding of new users following Enbridge’s acquisition of Spectra Energy.</w:t>
      </w:r>
      <w:bookmarkEnd w:id="0"/>
      <w:r w:rsidR="005A1E0F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626C63D1" w14:textId="1CB8F04D" w:rsidR="00567A3A" w:rsidRPr="00491607" w:rsidRDefault="00567A3A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Desktop Support Analyst</w:t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</w:t>
      </w:r>
      <w:r w:rsidR="00DE7683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</w:t>
      </w:r>
      <w:r w:rsidR="00D30EB5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5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Nov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="00D30EB5" w:rsidRPr="00491607"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  <w:t xml:space="preserve"> </w:t>
      </w:r>
    </w:p>
    <w:p w14:paraId="733E30D9" w14:textId="412BF8CA" w:rsidR="00567A3A" w:rsidRPr="00491607" w:rsidRDefault="00567A3A" w:rsidP="0018735B">
      <w:pPr>
        <w:pStyle w:val="Default"/>
        <w:numPr>
          <w:ilvl w:val="0"/>
          <w:numId w:val="23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As </w:t>
      </w:r>
      <w:r w:rsidR="000045D8"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a member of the EDS team, I was responsible for imaging and </w:t>
      </w:r>
      <w:r w:rsidR="00725658" w:rsidRPr="00491607">
        <w:rPr>
          <w:rFonts w:ascii="Avenir Next LT Pro" w:eastAsia="Noto Sans JP Black" w:hAnsi="Avenir Next LT Pro"/>
          <w:bCs/>
          <w:sz w:val="22"/>
          <w:szCs w:val="22"/>
        </w:rPr>
        <w:t>deploying computers,</w:t>
      </w:r>
      <w:r w:rsidR="000045D8"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 troubleshooting hardware and software issues, documenting and updating tickets in ServiceNow, </w:t>
      </w:r>
      <w:r w:rsidR="00725658" w:rsidRPr="00491607">
        <w:rPr>
          <w:rFonts w:ascii="Avenir Next LT Pro" w:eastAsia="Noto Sans JP Black" w:hAnsi="Avenir Next LT Pro"/>
          <w:bCs/>
          <w:sz w:val="22"/>
          <w:szCs w:val="22"/>
        </w:rPr>
        <w:t>and writing scripts in PowerShell.</w:t>
      </w:r>
    </w:p>
    <w:p w14:paraId="771424F2" w14:textId="77777777" w:rsidR="00B52FF1" w:rsidRDefault="00725658" w:rsidP="00DF0B2A">
      <w:pPr>
        <w:pStyle w:val="Default"/>
        <w:numPr>
          <w:ilvl w:val="1"/>
          <w:numId w:val="19"/>
        </w:numPr>
        <w:tabs>
          <w:tab w:val="left" w:pos="1080"/>
        </w:tabs>
        <w:spacing w:after="40" w:line="252" w:lineRule="auto"/>
        <w:contextualSpacing/>
        <w:rPr>
          <w:rFonts w:ascii="Avenir Next LT Pro" w:eastAsia="Noto Sans JP Black" w:hAnsi="Avenir Next LT Pro"/>
          <w:bCs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sz w:val="22"/>
          <w:szCs w:val="22"/>
        </w:rPr>
        <w:t>Supported 1300+ users, 400+ applications, at an average of 120 tickets per month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C9EF4AC" w14:textId="48410068" w:rsidR="00FB7725" w:rsidRPr="00B44FD5" w:rsidRDefault="00B52FF1" w:rsidP="00B52FF1">
      <w:pPr>
        <w:pStyle w:val="Default"/>
        <w:tabs>
          <w:tab w:val="left" w:pos="1170"/>
        </w:tabs>
        <w:spacing w:after="40" w:line="252" w:lineRule="auto"/>
        <w:contextualSpacing/>
        <w:jc w:val="center"/>
        <w:rPr>
          <w:rFonts w:ascii="Avenir Next LT Pro" w:eastAsia="Noto Sans JP Black" w:hAnsi="Avenir Next LT Pro"/>
          <w:bCs/>
          <w:sz w:val="22"/>
          <w:szCs w:val="22"/>
        </w:rPr>
      </w:pP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Additional experience as </w:t>
      </w:r>
      <w:r>
        <w:rPr>
          <w:rFonts w:asciiTheme="minorHAnsi" w:hAnsiTheme="minorHAnsi" w:cs="Arial"/>
          <w:b/>
          <w:i/>
          <w:sz w:val="21"/>
          <w:szCs w:val="21"/>
          <w:lang w:val="en-CA"/>
        </w:rPr>
        <w:t>Field Service Technician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 at</w:t>
      </w:r>
      <w:r w:rsidRPr="00DE4626">
        <w:rPr>
          <w:lang w:val="en-CA"/>
        </w:rPr>
        <w:t xml:space="preserve"> </w:t>
      </w:r>
      <w:r>
        <w:rPr>
          <w:rFonts w:asciiTheme="minorHAnsi" w:hAnsiTheme="minorHAnsi" w:cs="Arial"/>
          <w:i/>
          <w:sz w:val="21"/>
          <w:szCs w:val="21"/>
          <w:lang w:val="en-CA"/>
        </w:rPr>
        <w:t>ABM Integrated Solutions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>.</w:t>
      </w:r>
    </w:p>
    <w:p w14:paraId="26B9A1DE" w14:textId="06C6B1B1" w:rsidR="00CA59E9" w:rsidRPr="00DF0B2A" w:rsidRDefault="00CA59E9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16"/>
          <w:szCs w:val="16"/>
        </w:rPr>
      </w:pPr>
    </w:p>
    <w:p w14:paraId="7B317321" w14:textId="77777777" w:rsidR="00574565" w:rsidRPr="00491607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EDUCATION </w:t>
      </w:r>
    </w:p>
    <w:p w14:paraId="331AC1E2" w14:textId="77777777" w:rsidR="00574565" w:rsidRPr="00491607" w:rsidRDefault="00574565" w:rsidP="00574565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248CCF8C" w14:textId="504FB564" w:rsidR="00574565" w:rsidRPr="00491607" w:rsidRDefault="00F550F1" w:rsidP="00574565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Fanshawe College</w:t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          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July</w:t>
      </w:r>
      <w:r w:rsidR="00EB5CC5"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,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2012</w:t>
      </w:r>
    </w:p>
    <w:p w14:paraId="5B700E7C" w14:textId="4756BEA2" w:rsidR="00BC270D" w:rsidRPr="00B52FF1" w:rsidRDefault="00FB7725" w:rsidP="00B52FF1">
      <w:pPr>
        <w:pStyle w:val="Default"/>
        <w:spacing w:line="252" w:lineRule="auto"/>
        <w:rPr>
          <w:rFonts w:ascii="Avenir Next LT Pro" w:eastAsia="Noto Sans JP Black" w:hAnsi="Avenir Next LT Pro"/>
          <w:iCs/>
          <w:color w:val="auto"/>
          <w:sz w:val="22"/>
          <w:szCs w:val="22"/>
        </w:rPr>
      </w:pP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Diploma of Information </w:t>
      </w:r>
      <w:r w:rsidR="00BC270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Technology</w:t>
      </w:r>
      <w:r w:rsidR="00A00A1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- </w:t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Virtualization Special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ty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EB5CC5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        </w:t>
      </w:r>
      <w:r w:rsidR="00446A99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</w:t>
      </w: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 </w:t>
      </w:r>
      <w:r w:rsidR="00040960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London</w:t>
      </w:r>
      <w:r w:rsidR="00F550F1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, ON</w:t>
      </w:r>
      <w:r w:rsidRPr="00F550F1">
        <w:rPr>
          <w:rFonts w:ascii="Avenir Next LT Pro" w:eastAsia="Noto Sans JP Black" w:hAnsi="Avenir Next LT Pro"/>
          <w:iCs/>
          <w:color w:val="auto"/>
          <w:sz w:val="22"/>
          <w:szCs w:val="22"/>
        </w:rPr>
        <w:t xml:space="preserve"> </w:t>
      </w:r>
      <w:r w:rsidR="00BC270D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23586557" w14:textId="77777777" w:rsidR="00D7551A" w:rsidRPr="00491607" w:rsidRDefault="00D7551A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1346E3C" w14:textId="18419953" w:rsidR="00D7551A" w:rsidRPr="00491607" w:rsidRDefault="0028786B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 &amp; INTERESTS</w:t>
      </w:r>
    </w:p>
    <w:p w14:paraId="2375AD0B" w14:textId="77777777" w:rsidR="001F75AE" w:rsidRPr="00491607" w:rsidRDefault="001F75AE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  <w:u w:val="single"/>
        </w:rPr>
      </w:pPr>
    </w:p>
    <w:p w14:paraId="6C6D8849" w14:textId="0616FF82" w:rsidR="00AD7F16" w:rsidRPr="00491607" w:rsidRDefault="00D7551A" w:rsidP="00F62335">
      <w:pPr>
        <w:pStyle w:val="Default"/>
        <w:numPr>
          <w:ilvl w:val="0"/>
          <w:numId w:val="7"/>
        </w:numPr>
        <w:spacing w:after="3"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Skills: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hyperlink r:id="rId11" w:history="1">
        <w:r w:rsidR="00725658" w:rsidRPr="0018735B">
          <w:rPr>
            <w:rStyle w:val="Hyperlink"/>
            <w:rFonts w:ascii="Avenir Next LT Pro" w:eastAsia="Noto Sans JP Black" w:hAnsi="Avenir Next LT Pro"/>
            <w:i/>
            <w:iCs/>
            <w:color w:val="0070C0"/>
            <w:sz w:val="22"/>
            <w:szCs w:val="22"/>
          </w:rPr>
          <w:t>PowerShell</w:t>
        </w:r>
      </w:hyperlink>
      <w:r w:rsidR="00725658" w:rsidRPr="00491607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hyperlink r:id="rId12" w:history="1">
        <w:r w:rsidR="00B44FD5" w:rsidRPr="0018735B">
          <w:rPr>
            <w:rStyle w:val="Hyperlink"/>
            <w:rFonts w:ascii="Avenir Next LT Pro" w:eastAsia="Noto Sans JP Black" w:hAnsi="Avenir Next LT Pro"/>
            <w:i/>
            <w:iCs/>
            <w:color w:val="0070C0"/>
            <w:sz w:val="22"/>
            <w:szCs w:val="22"/>
          </w:rPr>
          <w:t>Python</w:t>
        </w:r>
      </w:hyperlink>
      <w:r w:rsidR="00B44FD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r w:rsidR="00B44FD5" w:rsidRPr="00491607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Process Automation</w:t>
      </w:r>
      <w:r w:rsidR="00B44FD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r w:rsidR="00725658" w:rsidRPr="00491607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Server Administration, Incident Management,</w:t>
      </w:r>
      <w:r w:rsidR="00B44FD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Business Intelligence, Linux, VMware, Office 365 Administration, Vendor Management, </w:t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Project Planning,</w:t>
      </w:r>
      <w:r w:rsidR="0018735B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Customer Service, Learning and Personal Development</w:t>
      </w:r>
    </w:p>
    <w:p w14:paraId="601B6A6A" w14:textId="45667157" w:rsidR="002B033E" w:rsidRPr="00491607" w:rsidRDefault="00AE7B1D" w:rsidP="00D20300">
      <w:pPr>
        <w:pStyle w:val="Default"/>
        <w:numPr>
          <w:ilvl w:val="0"/>
          <w:numId w:val="7"/>
        </w:numPr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Interests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:</w:t>
      </w:r>
      <w:r w:rsidR="00CF64CD">
        <w:t xml:space="preserve"> </w:t>
      </w:r>
      <w:r w:rsidR="00CF64CD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Cooking</w:t>
      </w:r>
      <w:r w:rsidR="00CF64CD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r w:rsidR="00D55E6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Dungeons and Dragons, </w:t>
      </w:r>
      <w:r w:rsidR="00CF64CD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Drinking </w:t>
      </w:r>
      <w:r w:rsidR="00D55E6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Coffee, PC Games </w:t>
      </w:r>
    </w:p>
    <w:sectPr w:rsidR="002B033E" w:rsidRPr="00491607" w:rsidSect="001224A3">
      <w:footerReference w:type="default" r:id="rId13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1FF2" w14:textId="77777777" w:rsidR="00737728" w:rsidRDefault="00737728" w:rsidP="00A00A1D">
      <w:r>
        <w:separator/>
      </w:r>
    </w:p>
  </w:endnote>
  <w:endnote w:type="continuationSeparator" w:id="0">
    <w:p w14:paraId="71AC84D7" w14:textId="77777777" w:rsidR="00737728" w:rsidRDefault="0073772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B2FC" w14:textId="4EE6BFB1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BA02" w14:textId="77777777" w:rsidR="00737728" w:rsidRDefault="00737728" w:rsidP="00A00A1D">
      <w:r>
        <w:separator/>
      </w:r>
    </w:p>
  </w:footnote>
  <w:footnote w:type="continuationSeparator" w:id="0">
    <w:p w14:paraId="68BCE09C" w14:textId="77777777" w:rsidR="00737728" w:rsidRDefault="0073772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5579"/>
    <w:multiLevelType w:val="hybridMultilevel"/>
    <w:tmpl w:val="CAEAE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347FBA"/>
    <w:multiLevelType w:val="hybridMultilevel"/>
    <w:tmpl w:val="A3B25D0C"/>
    <w:lvl w:ilvl="0" w:tplc="3ECA37A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1F30C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A656E"/>
    <w:multiLevelType w:val="hybridMultilevel"/>
    <w:tmpl w:val="EFE4BB7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80FEB"/>
    <w:multiLevelType w:val="hybridMultilevel"/>
    <w:tmpl w:val="B7525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23C95"/>
    <w:multiLevelType w:val="hybridMultilevel"/>
    <w:tmpl w:val="E244F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5"/>
  </w:num>
  <w:num w:numId="5">
    <w:abstractNumId w:val="22"/>
  </w:num>
  <w:num w:numId="6">
    <w:abstractNumId w:val="3"/>
  </w:num>
  <w:num w:numId="7">
    <w:abstractNumId w:val="11"/>
  </w:num>
  <w:num w:numId="8">
    <w:abstractNumId w:val="10"/>
  </w:num>
  <w:num w:numId="9">
    <w:abstractNumId w:val="19"/>
  </w:num>
  <w:num w:numId="10">
    <w:abstractNumId w:val="21"/>
  </w:num>
  <w:num w:numId="11">
    <w:abstractNumId w:val="0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20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5D8"/>
    <w:rsid w:val="00004A38"/>
    <w:rsid w:val="00016513"/>
    <w:rsid w:val="00023E41"/>
    <w:rsid w:val="000330F1"/>
    <w:rsid w:val="00040960"/>
    <w:rsid w:val="00040DE8"/>
    <w:rsid w:val="00041440"/>
    <w:rsid w:val="0004790C"/>
    <w:rsid w:val="000555EE"/>
    <w:rsid w:val="00055FF6"/>
    <w:rsid w:val="00060215"/>
    <w:rsid w:val="000646AA"/>
    <w:rsid w:val="00077B7D"/>
    <w:rsid w:val="00094905"/>
    <w:rsid w:val="0009555F"/>
    <w:rsid w:val="000965B8"/>
    <w:rsid w:val="000B1911"/>
    <w:rsid w:val="000B41F3"/>
    <w:rsid w:val="000C3F34"/>
    <w:rsid w:val="000C6404"/>
    <w:rsid w:val="000D19E9"/>
    <w:rsid w:val="000D5CB4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519BE"/>
    <w:rsid w:val="00154C81"/>
    <w:rsid w:val="0017085B"/>
    <w:rsid w:val="00180BBF"/>
    <w:rsid w:val="00185843"/>
    <w:rsid w:val="0018735B"/>
    <w:rsid w:val="00197743"/>
    <w:rsid w:val="001A77B6"/>
    <w:rsid w:val="001B08A4"/>
    <w:rsid w:val="001B0ED9"/>
    <w:rsid w:val="001B6807"/>
    <w:rsid w:val="001C0D1E"/>
    <w:rsid w:val="001C45D3"/>
    <w:rsid w:val="001C5809"/>
    <w:rsid w:val="001D5CAD"/>
    <w:rsid w:val="001D7AFD"/>
    <w:rsid w:val="001E6598"/>
    <w:rsid w:val="001E6681"/>
    <w:rsid w:val="001F0A5E"/>
    <w:rsid w:val="001F3644"/>
    <w:rsid w:val="001F3A82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39B1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42CB"/>
    <w:rsid w:val="0040634F"/>
    <w:rsid w:val="004159D7"/>
    <w:rsid w:val="0042172A"/>
    <w:rsid w:val="00425AFD"/>
    <w:rsid w:val="0043025C"/>
    <w:rsid w:val="00431629"/>
    <w:rsid w:val="00433C68"/>
    <w:rsid w:val="00435E50"/>
    <w:rsid w:val="00436091"/>
    <w:rsid w:val="00436B34"/>
    <w:rsid w:val="004439E8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57E6A"/>
    <w:rsid w:val="00463A9E"/>
    <w:rsid w:val="00471269"/>
    <w:rsid w:val="004739A5"/>
    <w:rsid w:val="0048295C"/>
    <w:rsid w:val="00484E74"/>
    <w:rsid w:val="00485140"/>
    <w:rsid w:val="00490251"/>
    <w:rsid w:val="00491607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31DC5"/>
    <w:rsid w:val="00546790"/>
    <w:rsid w:val="0054724A"/>
    <w:rsid w:val="00555AEC"/>
    <w:rsid w:val="00556367"/>
    <w:rsid w:val="005625AB"/>
    <w:rsid w:val="005644B4"/>
    <w:rsid w:val="00564A36"/>
    <w:rsid w:val="00567A3A"/>
    <w:rsid w:val="00571728"/>
    <w:rsid w:val="00574565"/>
    <w:rsid w:val="00575582"/>
    <w:rsid w:val="00582918"/>
    <w:rsid w:val="00582C91"/>
    <w:rsid w:val="00587EF3"/>
    <w:rsid w:val="005950D1"/>
    <w:rsid w:val="005A1E0F"/>
    <w:rsid w:val="005A28D7"/>
    <w:rsid w:val="005A2E35"/>
    <w:rsid w:val="005B52A1"/>
    <w:rsid w:val="005B5962"/>
    <w:rsid w:val="005C5B6E"/>
    <w:rsid w:val="005C625B"/>
    <w:rsid w:val="005D7059"/>
    <w:rsid w:val="005E1D7A"/>
    <w:rsid w:val="005E226B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36C19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1C22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25658"/>
    <w:rsid w:val="00733E76"/>
    <w:rsid w:val="00737728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87BCB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50A7"/>
    <w:rsid w:val="00935CFF"/>
    <w:rsid w:val="00937843"/>
    <w:rsid w:val="00941B0C"/>
    <w:rsid w:val="00950C4A"/>
    <w:rsid w:val="00972BD1"/>
    <w:rsid w:val="00987BF7"/>
    <w:rsid w:val="00995684"/>
    <w:rsid w:val="009A0B7D"/>
    <w:rsid w:val="009A1C6C"/>
    <w:rsid w:val="009A40B8"/>
    <w:rsid w:val="009A4762"/>
    <w:rsid w:val="009A58D9"/>
    <w:rsid w:val="009A60D6"/>
    <w:rsid w:val="009A7615"/>
    <w:rsid w:val="009A7D88"/>
    <w:rsid w:val="009B742D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25014"/>
    <w:rsid w:val="00A30886"/>
    <w:rsid w:val="00A35C57"/>
    <w:rsid w:val="00A452AE"/>
    <w:rsid w:val="00A466BF"/>
    <w:rsid w:val="00A57D94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2202"/>
    <w:rsid w:val="00AC61C6"/>
    <w:rsid w:val="00AD1B1A"/>
    <w:rsid w:val="00AD7F16"/>
    <w:rsid w:val="00AE4E5F"/>
    <w:rsid w:val="00AE7B1D"/>
    <w:rsid w:val="00AF3C50"/>
    <w:rsid w:val="00B169AC"/>
    <w:rsid w:val="00B21CBB"/>
    <w:rsid w:val="00B23B3F"/>
    <w:rsid w:val="00B23CFD"/>
    <w:rsid w:val="00B41D44"/>
    <w:rsid w:val="00B4262A"/>
    <w:rsid w:val="00B44FD5"/>
    <w:rsid w:val="00B4529A"/>
    <w:rsid w:val="00B47522"/>
    <w:rsid w:val="00B52FF1"/>
    <w:rsid w:val="00B55CED"/>
    <w:rsid w:val="00B6094B"/>
    <w:rsid w:val="00B63938"/>
    <w:rsid w:val="00B65993"/>
    <w:rsid w:val="00B83F82"/>
    <w:rsid w:val="00B873CD"/>
    <w:rsid w:val="00B95EB0"/>
    <w:rsid w:val="00BA68D1"/>
    <w:rsid w:val="00BA7968"/>
    <w:rsid w:val="00BB22C1"/>
    <w:rsid w:val="00BB25C2"/>
    <w:rsid w:val="00BC21AA"/>
    <w:rsid w:val="00BC270D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64CD"/>
    <w:rsid w:val="00D070EA"/>
    <w:rsid w:val="00D15C96"/>
    <w:rsid w:val="00D160FF"/>
    <w:rsid w:val="00D20300"/>
    <w:rsid w:val="00D25077"/>
    <w:rsid w:val="00D267C0"/>
    <w:rsid w:val="00D279DC"/>
    <w:rsid w:val="00D307C1"/>
    <w:rsid w:val="00D30EB5"/>
    <w:rsid w:val="00D3239C"/>
    <w:rsid w:val="00D33300"/>
    <w:rsid w:val="00D40A3E"/>
    <w:rsid w:val="00D47895"/>
    <w:rsid w:val="00D55E6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7683"/>
    <w:rsid w:val="00DF0B2A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EF72E0"/>
    <w:rsid w:val="00F13873"/>
    <w:rsid w:val="00F22A45"/>
    <w:rsid w:val="00F30E90"/>
    <w:rsid w:val="00F32734"/>
    <w:rsid w:val="00F3790B"/>
    <w:rsid w:val="00F37C1E"/>
    <w:rsid w:val="00F4577C"/>
    <w:rsid w:val="00F46ADA"/>
    <w:rsid w:val="00F46B56"/>
    <w:rsid w:val="00F53B8F"/>
    <w:rsid w:val="00F550F1"/>
    <w:rsid w:val="00F62335"/>
    <w:rsid w:val="00F80B75"/>
    <w:rsid w:val="00FA513D"/>
    <w:rsid w:val="00FA7C2F"/>
    <w:rsid w:val="00FB7142"/>
    <w:rsid w:val="00FB7725"/>
    <w:rsid w:val="00FC1148"/>
    <w:rsid w:val="00FC1AD5"/>
    <w:rsid w:val="00FC7E90"/>
    <w:rsid w:val="00FD23C4"/>
    <w:rsid w:val="00FE00BC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cameron-ratchfor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lab.ratchfordconsulting.com/c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lab.ratchfordconsulting.com/cam/powershe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maps/McK9Zq878CbShGa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hpe.com/ca/en/enterprise-solutions/storage-solutions/storage-solutions-for-data-management/storage-solutions-for-data-management/hpe-nimble-storage-dhci/p/10118259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7647D4-BB2A-4909-BB64-63933EC5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Cameron Ratchford</cp:lastModifiedBy>
  <cp:revision>2</cp:revision>
  <cp:lastPrinted>2017-10-11T07:39:00Z</cp:lastPrinted>
  <dcterms:created xsi:type="dcterms:W3CDTF">2020-08-31T05:54:00Z</dcterms:created>
  <dcterms:modified xsi:type="dcterms:W3CDTF">2020-08-31T05:54:00Z</dcterms:modified>
</cp:coreProperties>
</file>